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7" w:rsidRDefault="003F2D5B" w:rsidP="003F2D5B">
      <w:pPr>
        <w:pStyle w:val="berschrift2"/>
        <w:jc w:val="center"/>
      </w:pPr>
      <w:r>
        <w:t>Entscheidungshilfe für Studienfachwechsel</w:t>
      </w:r>
    </w:p>
    <w:p w:rsidR="003F2D5B" w:rsidRPr="004E1DB5" w:rsidRDefault="004E1DB5" w:rsidP="003F2D5B">
      <w:pPr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5743575" cy="14763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7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760" w:rsidRPr="003F2D5B" w:rsidRDefault="00FD2760" w:rsidP="00FD276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Um schwierige Entscheidungen reflektiert treffen zu können, kann es helfen, sich die positiven und negativen kurz- und langfristigen Konsequenzen der Entscheidung bewusst vor Augen zu führen.</w:t>
                            </w:r>
                            <w:r w:rsidR="004E1DB5">
                              <w:rPr>
                                <w:sz w:val="22"/>
                              </w:rPr>
                              <w:t xml:space="preserve"> Berücksichtigen Sie dabei sowohl fachliche als auch soziale Komponenten</w:t>
                            </w:r>
                            <w:r w:rsidR="00E21B64">
                              <w:rPr>
                                <w:sz w:val="22"/>
                              </w:rPr>
                              <w:t xml:space="preserve"> (s. Beispiele)</w:t>
                            </w:r>
                            <w:r w:rsidR="004E1DB5"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3F2D5B">
                              <w:rPr>
                                <w:sz w:val="22"/>
                              </w:rPr>
                              <w:t xml:space="preserve">Diese Tabelle soll </w:t>
                            </w:r>
                            <w:r>
                              <w:rPr>
                                <w:sz w:val="22"/>
                              </w:rPr>
                              <w:t>Sie dabei</w:t>
                            </w:r>
                            <w:r w:rsidRPr="003F2D5B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unterstützen. Zudem  können Sie die dritte Spalte nutzen, um offene Fragen oder sonstige Gedanken direkt festzuhalten, während Sie über Ihre Entscheidung nachdenken.</w:t>
                            </w:r>
                            <w:r w:rsidRPr="003F2D5B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Die Übersicht in der Tabelle ermöglicht es Ihnen am Ende, möglichst viele Faktoren in Ihre Entscheidung einzubeziehen und vorher noch offene Fragen (ggf. in der Studienfachberatung) zu klären. </w:t>
                            </w:r>
                          </w:p>
                          <w:p w:rsidR="003F2D5B" w:rsidRPr="003F2D5B" w:rsidRDefault="003F2D5B" w:rsidP="005A1C59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1.05pt;margin-top:11.5pt;width:452.25pt;height:11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" fillcolor="#f2f2f2 [3052]">
                <v:textbox>
                  <w:txbxContent>
                    <w:p w:rsidR="00FD2760" w:rsidRPr="003F2D5B" w:rsidRDefault="00FD2760" w:rsidP="00FD2760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Um schwierige Entscheidungen reflektiert treffen zu können, kann es helfen, sich die positiven und negativen kurz- und langfristigen Konsequenzen der Entscheidung bewusst vor Augen zu führen.</w:t>
                      </w:r>
                      <w:r w:rsidR="004E1DB5">
                        <w:rPr>
                          <w:sz w:val="22"/>
                        </w:rPr>
                        <w:t xml:space="preserve"> Berücksichtigen Sie dabei sowohl fachliche als auch soziale Komponenten</w:t>
                      </w:r>
                      <w:r w:rsidR="00E21B64">
                        <w:rPr>
                          <w:sz w:val="22"/>
                        </w:rPr>
                        <w:t xml:space="preserve"> (s. Beispiele)</w:t>
                      </w:r>
                      <w:r w:rsidR="004E1DB5">
                        <w:rPr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3F2D5B">
                        <w:rPr>
                          <w:sz w:val="22"/>
                        </w:rPr>
                        <w:t xml:space="preserve">Diese Tabelle soll </w:t>
                      </w:r>
                      <w:r>
                        <w:rPr>
                          <w:sz w:val="22"/>
                        </w:rPr>
                        <w:t>Sie dabei</w:t>
                      </w:r>
                      <w:r w:rsidRPr="003F2D5B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unterstützen. Zudem  können Sie die dritte Spalte nutzen, um offene Fragen oder sonstige Gedanken direkt festzuhalten, während Sie über Ihre Entscheidung nachdenken.</w:t>
                      </w:r>
                      <w:r w:rsidRPr="003F2D5B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Die Übersicht in der Tabelle ermöglicht es Ihnen am Ende, möglichst viele Faktoren in Ihre Entscheidung einzubeziehen und vorher noch offene Fragen (ggf. in der Studienfachberatung) zu klären. </w:t>
                      </w:r>
                    </w:p>
                    <w:p w:rsidR="003F2D5B" w:rsidRPr="003F2D5B" w:rsidRDefault="003F2D5B" w:rsidP="005A1C59">
                      <w:pPr>
                        <w:jc w:val="both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977"/>
        <w:gridCol w:w="1837"/>
      </w:tblGrid>
      <w:tr w:rsidR="003F2D5B" w:rsidTr="00570478">
        <w:tc>
          <w:tcPr>
            <w:tcW w:w="1418" w:type="dxa"/>
          </w:tcPr>
          <w:p w:rsidR="003F2D5B" w:rsidRDefault="003F2D5B" w:rsidP="00BA461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618F"/>
          </w:tcPr>
          <w:p w:rsidR="003F2D5B" w:rsidRPr="00570478" w:rsidRDefault="003F2D5B" w:rsidP="00BA461E">
            <w:pPr>
              <w:pStyle w:val="Listenabsatz"/>
              <w:ind w:left="0"/>
              <w:rPr>
                <w:b/>
                <w:color w:val="FFFFFF" w:themeColor="background1"/>
                <w:sz w:val="22"/>
              </w:rPr>
            </w:pPr>
            <w:r w:rsidRPr="00570478">
              <w:rPr>
                <w:b/>
                <w:color w:val="FFFFFF" w:themeColor="background1"/>
                <w:sz w:val="22"/>
              </w:rPr>
              <w:t>Pro Argumente für Studienfachwechsel</w:t>
            </w:r>
          </w:p>
        </w:tc>
        <w:tc>
          <w:tcPr>
            <w:tcW w:w="2977" w:type="dxa"/>
            <w:shd w:val="clear" w:color="auto" w:fill="00618F"/>
          </w:tcPr>
          <w:p w:rsidR="003F2D5B" w:rsidRPr="00570478" w:rsidRDefault="003F2D5B" w:rsidP="00BA461E">
            <w:pPr>
              <w:pStyle w:val="Listenabsatz"/>
              <w:ind w:left="0"/>
              <w:rPr>
                <w:b/>
                <w:color w:val="FFFFFF" w:themeColor="background1"/>
                <w:sz w:val="22"/>
              </w:rPr>
            </w:pPr>
            <w:r w:rsidRPr="00570478">
              <w:rPr>
                <w:b/>
                <w:color w:val="FFFFFF" w:themeColor="background1"/>
                <w:sz w:val="22"/>
              </w:rPr>
              <w:t>Contra Argumente für Studienfachwechsel</w:t>
            </w:r>
          </w:p>
        </w:tc>
        <w:tc>
          <w:tcPr>
            <w:tcW w:w="1837" w:type="dxa"/>
            <w:shd w:val="clear" w:color="auto" w:fill="00618F"/>
          </w:tcPr>
          <w:p w:rsidR="003F2D5B" w:rsidRPr="00570478" w:rsidRDefault="003F2D5B" w:rsidP="00BA461E">
            <w:pPr>
              <w:pStyle w:val="Listenabsatz"/>
              <w:ind w:left="0"/>
              <w:rPr>
                <w:b/>
                <w:color w:val="FFFFFF" w:themeColor="background1"/>
                <w:sz w:val="22"/>
              </w:rPr>
            </w:pPr>
            <w:r w:rsidRPr="00570478">
              <w:rPr>
                <w:b/>
                <w:color w:val="FFFFFF" w:themeColor="background1"/>
                <w:sz w:val="22"/>
              </w:rPr>
              <w:t>Ideen/Fragen/</w:t>
            </w:r>
            <w:r w:rsidR="00EE50E6">
              <w:rPr>
                <w:b/>
                <w:color w:val="FFFFFF" w:themeColor="background1"/>
                <w:sz w:val="22"/>
              </w:rPr>
              <w:br/>
            </w:r>
            <w:r w:rsidRPr="00570478">
              <w:rPr>
                <w:b/>
                <w:color w:val="FFFFFF" w:themeColor="background1"/>
                <w:sz w:val="22"/>
              </w:rPr>
              <w:t>Anmerkungen</w:t>
            </w:r>
          </w:p>
        </w:tc>
      </w:tr>
      <w:tr w:rsidR="003F2D5B" w:rsidTr="00570478">
        <w:tc>
          <w:tcPr>
            <w:tcW w:w="1418" w:type="dxa"/>
            <w:shd w:val="clear" w:color="auto" w:fill="F2F2F2" w:themeFill="background1" w:themeFillShade="F2"/>
          </w:tcPr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  <w:r w:rsidRPr="00570478">
              <w:rPr>
                <w:b/>
                <w:sz w:val="22"/>
              </w:rPr>
              <w:t>Kurzfristig</w:t>
            </w:r>
          </w:p>
          <w:p w:rsidR="003F2D5B" w:rsidRPr="00570478" w:rsidRDefault="003F2D5B" w:rsidP="002C2670">
            <w:pPr>
              <w:rPr>
                <w:sz w:val="22"/>
              </w:rPr>
            </w:pPr>
          </w:p>
          <w:p w:rsidR="003F2D5B" w:rsidRPr="00570478" w:rsidRDefault="003F2D5B" w:rsidP="002C2670">
            <w:pPr>
              <w:rPr>
                <w:sz w:val="22"/>
              </w:rPr>
            </w:pPr>
          </w:p>
          <w:p w:rsidR="003F2D5B" w:rsidRPr="00570478" w:rsidRDefault="003F2D5B" w:rsidP="002C2670">
            <w:pPr>
              <w:rPr>
                <w:sz w:val="22"/>
              </w:rPr>
            </w:pPr>
          </w:p>
          <w:p w:rsidR="003F2D5B" w:rsidRPr="00570478" w:rsidRDefault="003F2D5B" w:rsidP="002C2670">
            <w:pPr>
              <w:rPr>
                <w:sz w:val="22"/>
              </w:rPr>
            </w:pPr>
          </w:p>
          <w:p w:rsidR="003F2D5B" w:rsidRPr="00570478" w:rsidRDefault="003F2D5B" w:rsidP="002C2670">
            <w:pPr>
              <w:rPr>
                <w:sz w:val="22"/>
              </w:rPr>
            </w:pPr>
          </w:p>
          <w:p w:rsidR="003F2D5B" w:rsidRPr="00570478" w:rsidRDefault="003F2D5B" w:rsidP="002C2670">
            <w:pPr>
              <w:rPr>
                <w:sz w:val="22"/>
              </w:rPr>
            </w:pPr>
          </w:p>
          <w:p w:rsidR="003F2D5B" w:rsidRPr="00570478" w:rsidRDefault="003F2D5B" w:rsidP="002C2670">
            <w:pPr>
              <w:rPr>
                <w:sz w:val="22"/>
              </w:rPr>
            </w:pPr>
          </w:p>
          <w:p w:rsidR="003F2D5B" w:rsidRPr="00570478" w:rsidRDefault="003F2D5B" w:rsidP="002C2670">
            <w:pPr>
              <w:rPr>
                <w:sz w:val="22"/>
              </w:rPr>
            </w:pPr>
          </w:p>
          <w:p w:rsidR="003F2D5B" w:rsidRPr="00570478" w:rsidRDefault="003F2D5B" w:rsidP="002C2670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Pr="003F2D5B" w:rsidRDefault="003F2D5B" w:rsidP="002C2670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F2D5B" w:rsidRDefault="003F2D5B" w:rsidP="002C2670">
            <w:pPr>
              <w:pStyle w:val="Listenabsatz"/>
              <w:rPr>
                <w:sz w:val="20"/>
                <w:szCs w:val="20"/>
              </w:rPr>
            </w:pPr>
          </w:p>
          <w:p w:rsidR="003F2D5B" w:rsidRPr="00E21B64" w:rsidRDefault="00E21B64" w:rsidP="002C2670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21B64">
              <w:rPr>
                <w:i/>
                <w:sz w:val="20"/>
                <w:szCs w:val="20"/>
              </w:rPr>
              <w:t>Beispiel</w:t>
            </w:r>
            <w:r>
              <w:rPr>
                <w:sz w:val="20"/>
                <w:szCs w:val="20"/>
              </w:rPr>
              <w:t xml:space="preserve">: </w:t>
            </w:r>
            <w:r w:rsidRPr="00E21B64">
              <w:rPr>
                <w:sz w:val="20"/>
                <w:szCs w:val="20"/>
              </w:rPr>
              <w:t>Ich werde meine engen Freunde im Studium nicht mehr so oft sehen</w:t>
            </w:r>
          </w:p>
          <w:p w:rsidR="003F2D5B" w:rsidRDefault="003F2D5B" w:rsidP="002C2670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3F2D5B" w:rsidRPr="003F2D5B" w:rsidRDefault="003F2D5B" w:rsidP="002C2670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215312" w:rsidRPr="00215312" w:rsidRDefault="00215312" w:rsidP="002C2670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  <w:tr w:rsidR="003F2D5B" w:rsidTr="00570478">
        <w:tc>
          <w:tcPr>
            <w:tcW w:w="1418" w:type="dxa"/>
            <w:shd w:val="clear" w:color="auto" w:fill="F2F2F2" w:themeFill="background1" w:themeFillShade="F2"/>
          </w:tcPr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  <w:r w:rsidRPr="00570478">
              <w:rPr>
                <w:b/>
                <w:sz w:val="22"/>
              </w:rPr>
              <w:t>Langfristig</w:t>
            </w:r>
          </w:p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</w:p>
          <w:p w:rsidR="003F2D5B" w:rsidRPr="00570478" w:rsidRDefault="003F2D5B" w:rsidP="002C2670">
            <w:pPr>
              <w:pStyle w:val="Listenabsatz"/>
              <w:ind w:left="0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3F2D5B" w:rsidRDefault="003F2D5B" w:rsidP="002C2670">
            <w:pPr>
              <w:pStyle w:val="Listenabsatz"/>
              <w:rPr>
                <w:sz w:val="20"/>
                <w:szCs w:val="20"/>
              </w:rPr>
            </w:pPr>
          </w:p>
          <w:p w:rsidR="003F2D5B" w:rsidRPr="0057466F" w:rsidRDefault="00E21B64" w:rsidP="002C2670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7466F">
              <w:rPr>
                <w:i/>
                <w:sz w:val="20"/>
                <w:szCs w:val="20"/>
              </w:rPr>
              <w:t>Beispiel</w:t>
            </w:r>
            <w:r w:rsidRPr="0057466F">
              <w:rPr>
                <w:sz w:val="20"/>
                <w:szCs w:val="20"/>
              </w:rPr>
              <w:t xml:space="preserve">: Ich kann mit dem neuen Fach XY später im Beruf </w:t>
            </w:r>
            <w:r w:rsidR="007A3563">
              <w:rPr>
                <w:sz w:val="20"/>
                <w:szCs w:val="20"/>
              </w:rPr>
              <w:t>XYZ</w:t>
            </w:r>
            <w:bookmarkStart w:id="0" w:name="_GoBack"/>
            <w:bookmarkEnd w:id="0"/>
            <w:r w:rsidRPr="0057466F">
              <w:rPr>
                <w:sz w:val="20"/>
                <w:szCs w:val="20"/>
              </w:rPr>
              <w:t xml:space="preserve"> arbeiten, der mich sehr begeistert.</w:t>
            </w:r>
          </w:p>
          <w:p w:rsidR="003F2D5B" w:rsidRDefault="003F2D5B" w:rsidP="002C2670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FD2760" w:rsidRDefault="00FD2760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3F2D5B" w:rsidRPr="003F2D5B" w:rsidRDefault="003F2D5B" w:rsidP="002C267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F2D5B" w:rsidRDefault="003F2D5B" w:rsidP="002C2670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3F2D5B" w:rsidRDefault="003F2D5B" w:rsidP="002C2670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:rsidR="003F2D5B" w:rsidRDefault="003F2D5B" w:rsidP="002C2670">
            <w:pPr>
              <w:rPr>
                <w:sz w:val="20"/>
                <w:szCs w:val="20"/>
              </w:rPr>
            </w:pPr>
          </w:p>
          <w:p w:rsidR="00215312" w:rsidRDefault="00215312" w:rsidP="002C2670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215312" w:rsidRPr="00215312" w:rsidRDefault="00215312" w:rsidP="002C2670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</w:tbl>
    <w:p w:rsidR="003F2D5B" w:rsidRDefault="003F2D5B" w:rsidP="003F2D5B"/>
    <w:sectPr w:rsidR="003F2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78" w:rsidRDefault="00E34378" w:rsidP="00E34378">
      <w:pPr>
        <w:spacing w:after="0" w:line="240" w:lineRule="auto"/>
      </w:pPr>
      <w:r>
        <w:separator/>
      </w:r>
    </w:p>
  </w:endnote>
  <w:endnote w:type="continuationSeparator" w:id="0">
    <w:p w:rsidR="00E34378" w:rsidRDefault="00E34378" w:rsidP="00E3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378" w:rsidRDefault="00E343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378" w:rsidRDefault="00E3437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378" w:rsidRDefault="00E343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78" w:rsidRDefault="00E34378" w:rsidP="00E34378">
      <w:pPr>
        <w:spacing w:after="0" w:line="240" w:lineRule="auto"/>
      </w:pPr>
      <w:r>
        <w:separator/>
      </w:r>
    </w:p>
  </w:footnote>
  <w:footnote w:type="continuationSeparator" w:id="0">
    <w:p w:rsidR="00E34378" w:rsidRDefault="00E34378" w:rsidP="00E3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378" w:rsidRDefault="00E343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378" w:rsidRDefault="00E34378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44AF90B8" wp14:editId="1E4FAC6D">
          <wp:extent cx="877033" cy="5429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ethe U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06" cy="5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378" w:rsidRDefault="00E3437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74F"/>
    <w:multiLevelType w:val="hybridMultilevel"/>
    <w:tmpl w:val="00341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5C48"/>
    <w:multiLevelType w:val="hybridMultilevel"/>
    <w:tmpl w:val="EAB0E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F1183"/>
    <w:multiLevelType w:val="hybridMultilevel"/>
    <w:tmpl w:val="6C82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31845"/>
    <w:multiLevelType w:val="hybridMultilevel"/>
    <w:tmpl w:val="82185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5B"/>
    <w:rsid w:val="00011C7A"/>
    <w:rsid w:val="00215312"/>
    <w:rsid w:val="00290473"/>
    <w:rsid w:val="002C2670"/>
    <w:rsid w:val="002E631A"/>
    <w:rsid w:val="003F2D5B"/>
    <w:rsid w:val="004E1DB5"/>
    <w:rsid w:val="00570478"/>
    <w:rsid w:val="0057466F"/>
    <w:rsid w:val="005A1C59"/>
    <w:rsid w:val="006472F6"/>
    <w:rsid w:val="0071630F"/>
    <w:rsid w:val="007463A7"/>
    <w:rsid w:val="007A3563"/>
    <w:rsid w:val="00864BCF"/>
    <w:rsid w:val="009E5ED3"/>
    <w:rsid w:val="00AF4A8A"/>
    <w:rsid w:val="00D565BC"/>
    <w:rsid w:val="00E21B64"/>
    <w:rsid w:val="00E34378"/>
    <w:rsid w:val="00EE50E6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9852-0C99-4816-B77D-EBFB8E39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2D5B"/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2D5B"/>
    <w:pPr>
      <w:keepNext/>
      <w:keepLines/>
      <w:spacing w:before="40" w:after="0" w:line="240" w:lineRule="auto"/>
      <w:jc w:val="both"/>
      <w:outlineLvl w:val="1"/>
    </w:pPr>
    <w:rPr>
      <w:rFonts w:eastAsiaTheme="majorEastAsia" w:cstheme="majorBidi"/>
      <w:b/>
      <w:color w:val="00618F"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F2D5B"/>
    <w:rPr>
      <w:rFonts w:ascii="Arial" w:eastAsiaTheme="majorEastAsia" w:hAnsi="Arial" w:cstheme="majorBidi"/>
      <w:b/>
      <w:color w:val="00618F"/>
      <w:sz w:val="3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D5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F2D5B"/>
    <w:pPr>
      <w:ind w:left="720"/>
      <w:contextualSpacing/>
    </w:pPr>
  </w:style>
  <w:style w:type="table" w:styleId="Tabellenraster">
    <w:name w:val="Table Grid"/>
    <w:basedOn w:val="NormaleTabelle"/>
    <w:uiPriority w:val="39"/>
    <w:rsid w:val="003F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378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3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437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Goethe-Universitaet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Delhvi.Schazia Sara</dc:creator>
  <cp:keywords/>
  <dc:description/>
  <cp:lastModifiedBy>Delhvi.Schazia Sara</cp:lastModifiedBy>
  <cp:revision>19</cp:revision>
  <dcterms:created xsi:type="dcterms:W3CDTF">2017-06-22T07:18:00Z</dcterms:created>
  <dcterms:modified xsi:type="dcterms:W3CDTF">2017-08-07T10:16:00Z</dcterms:modified>
</cp:coreProperties>
</file>